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.2022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самарском Росреестре обсудили сроки регистрации и электронные услуги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какой срок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бытовая недвижимость, в каких случаях правообладателю надо внести отметку о подаче документов в электронном виде и </w:t>
      </w:r>
      <w:r>
        <w:rPr>
          <w:rFonts w:ascii="Times New Roman" w:hAnsi="Times New Roman" w:cs="Times New Roman"/>
          <w:sz w:val="28"/>
          <w:szCs w:val="28"/>
        </w:rPr>
        <w:t xml:space="preserve">почему владельцы будут платить налог за объекты, которыми не могут распоряжаться, </w:t>
      </w:r>
      <w:r>
        <w:rPr>
          <w:rFonts w:ascii="Times New Roman" w:hAnsi="Times New Roman" w:cs="Times New Roman"/>
          <w:sz w:val="28"/>
          <w:szCs w:val="28"/>
        </w:rPr>
        <w:t xml:space="preserve">обсуждалось 12 октября на очередном методическом часе, который самарский Росреестр провел для регистраторов. </w:t>
      </w:r>
    </w:p>
    <w:p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Регистрация прав на бытовую недвижимость находится на особом контроле Управления Росреестра. Начиная с мая 2022 года срок регистрации садовых и жилых домов, квартир, гаражей, хозяйственных построек и земельных участков, на которых они расположены, в Самарской области составляет всего один рабочий день, если документы поданы в электронном виде.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За такой короткий срок отрабатываются заявления, к которым приложены все установленные законодательством документы, а также если государственная пошлина оплачена, и документ об оплате входит в комплект документов заявителя. Если документа об оплате нет, регистрировать право Росреестр не уполномочен,</w:t>
      </w:r>
      <w:r>
        <w:rPr>
          <w:rFonts w:ascii="Times New Roman" w:hAnsi="Times New Roman" w:cs="Times New Roman"/>
          <w:sz w:val="28"/>
          <w:szCs w:val="28"/>
        </w:rPr>
        <w:t xml:space="preserve"> - подчеркнула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начальник отдела координации </w:t>
      </w:r>
      <w:r>
        <w:rPr>
          <w:rFonts w:ascii="Times New Roman" w:hAnsi="Times New Roman" w:cs="Times New Roman"/>
          <w:sz w:val="28"/>
          <w:szCs w:val="28"/>
        </w:rPr>
        <w:t>и анализа деятельности в учетно-регистрационной сфере Управления 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Лилия Аглиулова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один важный документ, который регистрирующий орган должен увидеть перед оформлением права – это специальная отметка о возможности подачи документов в электронном виде. Ее необходимо внести в Единый государственный реестр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недвижимости собственникам, которые планируют операции с недвижимостью посредством электронных сервисов или нотариальные сделки через представителей.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Если заявитель планирует обратиться за учетно-регистрационными действиями самостоятельно через сайт Росреестра или от его имени будет действовать представитель по нотариальной доверенности и документы будут подаваться в электронном виде через нотариуса, необходимо обратиться в МФЦ с заявлением о возможности регистрации на основании документов, подписанных усиленной квалифицированной электронной подписью. </w:t>
      </w:r>
      <w:r>
        <w:rPr>
          <w:rFonts w:ascii="Times New Roman" w:hAnsi="Times New Roman" w:cs="Times New Roman"/>
          <w:i/>
          <w:sz w:val="28"/>
          <w:szCs w:val="28"/>
        </w:rPr>
        <w:t>Исключение составляют случаи, когда такая подпись получена в филиале кадастровой палаты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Такая процедура необходима для обеспечения безопасности и исключения мошеннических случаев, поэтому норма действует только при переходе и при прекращении права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говорит начальник отдела регистрации в электронном виде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Дмитрий Кожевников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методическом часе также прозвучала информация о реализации в Самарской области федерального </w:t>
      </w:r>
      <w:r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№518-ФЗ</w:t>
      </w:r>
      <w:r>
        <w:rPr>
          <w:rFonts w:ascii="Times New Roman" w:hAnsi="Times New Roman" w:cs="Times New Roman"/>
          <w:sz w:val="28"/>
          <w:szCs w:val="28"/>
        </w:rPr>
        <w:t xml:space="preserve">, который вступил в силу в июне 2021 года.  С этого момента органы местного самоуправления выявляют правообладателей объектов недвижимости. Это необходимо для создания инвестиционной привлекательности территории и для ее социально-экономического развития. 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правообладатель недвижимости будет определен, налоговая служба начислит ему налог на имущество. Вместе с тем, если право на недвижимость не зарегистрировано в Едином государственном реестре недвижимости (ЕГРН), владелец не может ей распорядиться – продать, подарить, передать по наследству.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Наличие зарегистрированных прав на объекты недвижимости обеспечивает защиту имущественных прав граждан.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Необходимо внести сведения о своих правах на ранее учтенные объекты недвижимости в ЕГРН, что позволит не только владеть, но и самостоятельно распоряжаться имуществом, а также избежать мошеннических действий и обезопасить себя от неприятных ситуаций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говорит Лилия Аглиулова.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lastRenderedPageBreak/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0F0A3-0F38-4E92-A380-01632966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58</cp:revision>
  <cp:lastPrinted>2022-10-12T13:21:00Z</cp:lastPrinted>
  <dcterms:created xsi:type="dcterms:W3CDTF">2022-10-12T07:08:00Z</dcterms:created>
  <dcterms:modified xsi:type="dcterms:W3CDTF">2022-10-12T13:29:00Z</dcterms:modified>
</cp:coreProperties>
</file>