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rFonts w:ascii="Segoe UI" w:hAnsi="Segoe UI" w:cs="Segoe UI"/>
          <w:b/>
          <w:sz w:val="32"/>
          <w:szCs w:val="32"/>
        </w:rPr>
      </w:pPr>
      <w:r>
        <w:rPr>
          <w:noProof/>
        </w:rPr>
        <w:drawing>
          <wp:inline distT="0" distB="0" distL="0" distR="0">
            <wp:extent cx="3476625" cy="1685925"/>
            <wp:effectExtent l="0" t="0" r="0" b="0"/>
            <wp:docPr id="1" name="Рисунок 1" descr="C:\Documents and Settings\haustova ja\Рабочий стол\лог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nts and Settings\haustova ja\Рабочий стол\лого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egoe UI" w:hAnsi="Segoe UI" w:cs="Segoe UI"/>
          <w:b/>
          <w:sz w:val="32"/>
          <w:szCs w:val="32"/>
        </w:rPr>
        <w:t xml:space="preserve"> </w:t>
      </w:r>
    </w:p>
    <w:p>
      <w:pPr>
        <w:jc w:val="right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>ПРЕСС-РЕЛИЗ</w:t>
      </w:r>
    </w:p>
    <w:p>
      <w:pPr>
        <w:jc w:val="right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30 января 2020</w:t>
      </w:r>
    </w:p>
    <w:p>
      <w:pPr>
        <w:jc w:val="right"/>
        <w:rPr>
          <w:rFonts w:ascii="Segoe UI" w:hAnsi="Segoe UI" w:cs="Segoe UI"/>
          <w:b/>
        </w:rPr>
      </w:pPr>
    </w:p>
    <w:p>
      <w:pPr>
        <w:spacing w:line="276" w:lineRule="auto"/>
        <w:ind w:firstLine="708"/>
        <w:jc w:val="center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 xml:space="preserve">Вопросы о кадастровой оценке поделили между </w:t>
      </w:r>
      <w:proofErr w:type="spellStart"/>
      <w:r>
        <w:rPr>
          <w:rFonts w:ascii="Segoe UI" w:hAnsi="Segoe UI" w:cs="Segoe UI"/>
          <w:b/>
        </w:rPr>
        <w:t>Росреестром</w:t>
      </w:r>
      <w:proofErr w:type="spellEnd"/>
      <w:r>
        <w:rPr>
          <w:rFonts w:ascii="Segoe UI" w:hAnsi="Segoe UI" w:cs="Segoe UI"/>
          <w:b/>
        </w:rPr>
        <w:t xml:space="preserve"> и ГБУ</w:t>
      </w:r>
    </w:p>
    <w:p>
      <w:pPr>
        <w:spacing w:line="276" w:lineRule="auto"/>
        <w:ind w:firstLine="708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С 1 января 2020 года вступили в силу результаты кадастровой оценки, которая была проведена ГБУ «Центр кадастровой оценки». О том, что сохранилось в компетенции Росреестра, а какие вопросы теперь стоит адресовать ГБУ, что надо учесть собственникам при получении выписки из ЕГРН и как узнать кадастровую стоимость, рассказал начальник отдела кадастровой оценки недвижимости Управления Росреестра по Самарской области </w:t>
      </w:r>
      <w:r>
        <w:rPr>
          <w:rFonts w:ascii="Segoe UI" w:hAnsi="Segoe UI" w:cs="Segoe UI"/>
          <w:b/>
        </w:rPr>
        <w:t xml:space="preserve">Иван Маслов </w:t>
      </w:r>
      <w:r>
        <w:rPr>
          <w:rFonts w:ascii="Segoe UI" w:hAnsi="Segoe UI" w:cs="Segoe UI"/>
        </w:rPr>
        <w:t xml:space="preserve">в ходе прямой линии. </w:t>
      </w:r>
    </w:p>
    <w:p>
      <w:pPr>
        <w:spacing w:line="276" w:lineRule="auto"/>
        <w:ind w:firstLine="708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Жители и представители организаций звонили из разных городов и районов Самарской области. Предпринимателя из Алексеевки интересовало, изменится ли кадастровая стоимость его магазина. Результаты кадастровой оценки, которые вступили в силу с 1 января 2020 года, касаются только пяти категорий земель - это земли </w:t>
      </w:r>
      <w:proofErr w:type="spellStart"/>
      <w:r>
        <w:rPr>
          <w:rFonts w:ascii="Segoe UI" w:hAnsi="Segoe UI" w:cs="Segoe UI"/>
        </w:rPr>
        <w:t>сельхозназначения</w:t>
      </w:r>
      <w:proofErr w:type="spellEnd"/>
      <w:r>
        <w:rPr>
          <w:rFonts w:ascii="Segoe UI" w:hAnsi="Segoe UI" w:cs="Segoe UI"/>
        </w:rPr>
        <w:t xml:space="preserve"> (в том числе под садоводство), расположенные вне населенных пунктов</w:t>
      </w:r>
      <w:bookmarkStart w:id="0" w:name="_GoBack"/>
      <w:bookmarkEnd w:id="0"/>
      <w:r>
        <w:rPr>
          <w:rFonts w:ascii="Segoe UI" w:hAnsi="Segoe UI" w:cs="Segoe UI"/>
        </w:rPr>
        <w:t xml:space="preserve">, земли промышленности и иного специального назначения (например, объекты придорожного сервиса, дороги, линии электропередач), земли водного и лесного фондов, а также земли особо охраняемых территорий и объектов, сообщил эксперт. В связи с этим кадастровая стоимость магазина на сегодня не изменилась. «Новая кадастровая оценка объектов капитального строительства будет проводится государственным бюджетным учреждением «Центр кадастровой оценки» в 2021 году, - подчеркнул Иван Маслов. – Поэтому новая кадастровая стоимость объекта появится в 2022 году». Специалист Управления Росреестра отметил, что в 2020 году будет проведена кадастровая оценка земель населенных пунктов. </w:t>
      </w:r>
    </w:p>
    <w:p>
      <w:pPr>
        <w:spacing w:line="276" w:lineRule="auto"/>
        <w:ind w:firstLine="708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Пока кадастровая оценка по объектам капитального строительства и землям населенных пунктов не проведена, вопросы о действующей кадастровой оценке этой недвижимости, как и об оспаривании ее кадастровой стоимости необходимо адресовать Управлению Росреестра по Самарской области. Вопросы по остальным категориям земель, в том числе по досудебному оспариванию их кадастровой стоимости теперь необходимо направлять в ГБУ «Центр кадастровой оценки». </w:t>
      </w:r>
    </w:p>
    <w:p>
      <w:pPr>
        <w:spacing w:line="276" w:lineRule="auto"/>
        <w:ind w:firstLine="708"/>
        <w:jc w:val="both"/>
        <w:rPr>
          <w:rFonts w:ascii="Segoe UI" w:eastAsiaTheme="minorHAnsi" w:hAnsi="Segoe UI" w:cs="Segoe UI"/>
          <w:lang w:eastAsia="en-US"/>
        </w:rPr>
      </w:pPr>
      <w:r>
        <w:rPr>
          <w:rFonts w:ascii="Segoe UI" w:hAnsi="Segoe UI" w:cs="Segoe UI"/>
        </w:rPr>
        <w:t xml:space="preserve">Отвечая на вопросы граждан, которые планируют купить дачный участок за пределами населенного пункта, эксперт обратил внимание на то, что по результатам </w:t>
      </w:r>
      <w:r>
        <w:rPr>
          <w:rFonts w:ascii="Segoe UI" w:hAnsi="Segoe UI" w:cs="Segoe UI"/>
        </w:rPr>
        <w:lastRenderedPageBreak/>
        <w:t xml:space="preserve">постановки земельного участка на государственный кадастровый учет и при внесении изменений в характеристики земельного участка в выписке из Единого государственного реестра недвижимости (ЕГРН) информация о его кадастровой стоимости появится не сразу. «Это обусловлено тем, что </w:t>
      </w:r>
      <w:r>
        <w:rPr>
          <w:rFonts w:ascii="Segoe UI" w:eastAsiaTheme="minorHAnsi" w:hAnsi="Segoe UI" w:cs="Segoe UI"/>
          <w:lang w:eastAsia="en-US"/>
        </w:rPr>
        <w:t xml:space="preserve">процесс определения кадастровой стоимости отделен от кадастрового учета и </w:t>
      </w:r>
      <w:r>
        <w:rPr>
          <w:rFonts w:ascii="Segoe UI" w:eastAsiaTheme="minorHAnsi" w:hAnsi="Segoe UI" w:cs="Segoe UI"/>
          <w:color w:val="000000" w:themeColor="text1"/>
          <w:lang w:eastAsia="en-US"/>
        </w:rPr>
        <w:t>регистрации прав</w:t>
      </w:r>
      <w:r>
        <w:rPr>
          <w:rFonts w:ascii="Segoe UI" w:eastAsiaTheme="minorHAnsi" w:hAnsi="Segoe UI" w:cs="Segoe UI"/>
          <w:lang w:eastAsia="en-US"/>
        </w:rPr>
        <w:t xml:space="preserve">, - пояснил Иван Маслов. - Его теперь проводит государственное бюджетное учреждение после соответствующих изменений в ЕГРН. Обращаю внимание, что такая схема работы пока будет применяться только для земельных участков за исключением земель населенных пунктов». </w:t>
      </w:r>
    </w:p>
    <w:p>
      <w:pPr>
        <w:spacing w:line="276" w:lineRule="auto"/>
        <w:ind w:firstLine="708"/>
        <w:jc w:val="both"/>
        <w:rPr>
          <w:rFonts w:ascii="Segoe UI" w:eastAsiaTheme="minorHAnsi" w:hAnsi="Segoe UI" w:cs="Segoe UI"/>
          <w:lang w:eastAsia="en-US"/>
        </w:rPr>
      </w:pPr>
      <w:r>
        <w:rPr>
          <w:rFonts w:ascii="Segoe UI" w:eastAsiaTheme="minorHAnsi" w:hAnsi="Segoe UI" w:cs="Segoe UI"/>
          <w:lang w:eastAsia="en-US"/>
        </w:rPr>
        <w:t>Учитывая, что сведения о кадастровой стоимости по-прежнему можно посмотреть на сайте Росреестра или заказать в электронном виде, а также бесплатность их предоставления, никаких неудобств для заявителей не ожидается. За информацией о кадастровой стоимости стоит обращаться не ранее чем через 2-3 недели после постановки объекта недвижимости на кадастровый учет.</w:t>
      </w:r>
    </w:p>
    <w:p>
      <w:pPr>
        <w:spacing w:line="276" w:lineRule="auto"/>
        <w:jc w:val="both"/>
        <w:rPr>
          <w:rFonts w:ascii="Segoe UI" w:eastAsiaTheme="minorHAnsi" w:hAnsi="Segoe UI" w:cs="Segoe UI"/>
          <w:lang w:eastAsia="en-US"/>
        </w:rPr>
      </w:pPr>
      <w:r>
        <w:rPr>
          <w:rFonts w:ascii="Segoe UI" w:eastAsiaTheme="minorHAnsi" w:hAnsi="Segoe UI" w:cs="Segoe UI"/>
          <w:lang w:eastAsia="en-US"/>
        </w:rPr>
        <w:tab/>
        <w:t xml:space="preserve"> </w:t>
      </w:r>
    </w:p>
    <w:p>
      <w:pPr>
        <w:suppressAutoHyphens/>
        <w:autoSpaceDE w:val="0"/>
        <w:autoSpaceDN w:val="0"/>
        <w:adjustRightInd w:val="0"/>
        <w:spacing w:before="240"/>
        <w:jc w:val="both"/>
        <w:rPr>
          <w:rFonts w:ascii="Segoe UI" w:eastAsiaTheme="minorHAnsi" w:hAnsi="Segoe UI" w:cs="Segoe UI"/>
          <w:sz w:val="18"/>
          <w:szCs w:val="18"/>
          <w:lang w:eastAsia="en-US"/>
        </w:rPr>
      </w:pPr>
      <w:r>
        <w:rPr>
          <w:rFonts w:asciiTheme="minorHAnsi" w:eastAsia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-93345</wp:posOffset>
                </wp:positionH>
                <wp:positionV relativeFrom="paragraph">
                  <wp:posOffset>111125</wp:posOffset>
                </wp:positionV>
                <wp:extent cx="6229350" cy="0"/>
                <wp:effectExtent l="0" t="0" r="19050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9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-7.35pt;margin-top:8.75pt;width:490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" strokecolor="#0070c0"/>
            </w:pict>
          </mc:Fallback>
        </mc:AlternateContent>
      </w:r>
    </w:p>
    <w:p>
      <w:pPr>
        <w:jc w:val="both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</w:p>
    <w:p>
      <w:pPr>
        <w:jc w:val="both"/>
        <w:rPr>
          <w:rFonts w:ascii="Segoe UI" w:eastAsiaTheme="minorHAnsi" w:hAnsi="Segoe UI" w:cs="Segoe UI"/>
          <w:b/>
          <w:noProof/>
          <w:sz w:val="22"/>
          <w:szCs w:val="22"/>
          <w:lang w:eastAsia="sk-SK"/>
        </w:rPr>
      </w:pPr>
      <w:r>
        <w:rPr>
          <w:rFonts w:ascii="Segoe UI" w:eastAsiaTheme="minorHAnsi" w:hAnsi="Segoe UI" w:cs="Segoe UI"/>
          <w:b/>
          <w:noProof/>
          <w:sz w:val="22"/>
          <w:szCs w:val="22"/>
          <w:lang w:eastAsia="sk-SK"/>
        </w:rPr>
        <w:t>Контакты для СМИ:</w:t>
      </w:r>
    </w:p>
    <w:p>
      <w:pPr>
        <w:rPr>
          <w:rFonts w:ascii="Segoe UI" w:eastAsiaTheme="minorHAnsi" w:hAnsi="Segoe UI" w:cs="Segoe UI"/>
          <w:sz w:val="22"/>
          <w:szCs w:val="22"/>
          <w:lang w:eastAsia="en-US"/>
        </w:rPr>
      </w:pPr>
      <w:r>
        <w:rPr>
          <w:rFonts w:ascii="Segoe UI" w:eastAsiaTheme="minorHAnsi" w:hAnsi="Segoe UI" w:cs="Segoe UI"/>
          <w:sz w:val="22"/>
          <w:szCs w:val="22"/>
          <w:lang w:eastAsia="en-US"/>
        </w:rPr>
        <w:t>Ольга Никитина, помощник руководителя Управления Росреестра</w:t>
      </w:r>
    </w:p>
    <w:p>
      <w:pPr>
        <w:rPr>
          <w:rFonts w:ascii="Segoe UI" w:eastAsia="Arial Unicode MS" w:hAnsi="Segoe UI" w:cs="Segoe UI"/>
          <w:b/>
          <w:noProof/>
          <w:kern w:val="2"/>
          <w:sz w:val="20"/>
          <w:szCs w:val="20"/>
          <w:lang w:eastAsia="sk-SK" w:bidi="hi-IN"/>
        </w:rPr>
      </w:pPr>
      <w:r>
        <w:rPr>
          <w:rFonts w:ascii="Segoe UI" w:eastAsiaTheme="minorHAnsi" w:hAnsi="Segoe UI" w:cs="Segoe UI"/>
          <w:sz w:val="22"/>
          <w:szCs w:val="22"/>
          <w:lang w:eastAsia="en-US"/>
        </w:rPr>
        <w:t xml:space="preserve">(846) 33-22-555, 8 927 690 73 51, </w:t>
      </w:r>
      <w:hyperlink r:id="rId5" w:history="1">
        <w:r>
          <w:rPr>
            <w:rFonts w:ascii="Segoe UI" w:eastAsiaTheme="minorHAnsi" w:hAnsi="Segoe UI" w:cs="Segoe UI"/>
            <w:color w:val="0000FF"/>
            <w:sz w:val="22"/>
            <w:szCs w:val="22"/>
            <w:u w:val="single"/>
            <w:shd w:val="clear" w:color="auto" w:fill="FFFFFF"/>
            <w:lang w:val="en-US" w:eastAsia="en-US"/>
          </w:rPr>
          <w:t>pr</w:t>
        </w:r>
        <w:r>
          <w:rPr>
            <w:rFonts w:ascii="Segoe UI" w:eastAsiaTheme="minorHAnsi" w:hAnsi="Segoe UI" w:cs="Segoe UI"/>
            <w:color w:val="0000FF"/>
            <w:sz w:val="22"/>
            <w:szCs w:val="22"/>
            <w:u w:val="single"/>
            <w:shd w:val="clear" w:color="auto" w:fill="FFFFFF"/>
            <w:lang w:eastAsia="en-US"/>
          </w:rPr>
          <w:t>.</w:t>
        </w:r>
        <w:r>
          <w:rPr>
            <w:rFonts w:ascii="Segoe UI" w:eastAsiaTheme="minorHAnsi" w:hAnsi="Segoe UI" w:cs="Segoe UI"/>
            <w:color w:val="0000FF"/>
            <w:sz w:val="22"/>
            <w:szCs w:val="22"/>
            <w:u w:val="single"/>
            <w:shd w:val="clear" w:color="auto" w:fill="FFFFFF"/>
            <w:lang w:val="en-US" w:eastAsia="en-US"/>
          </w:rPr>
          <w:t>samara</w:t>
        </w:r>
        <w:r>
          <w:rPr>
            <w:rFonts w:ascii="Segoe UI" w:eastAsiaTheme="minorHAnsi" w:hAnsi="Segoe UI" w:cs="Segoe UI"/>
            <w:color w:val="0000FF"/>
            <w:sz w:val="22"/>
            <w:szCs w:val="22"/>
            <w:u w:val="single"/>
            <w:shd w:val="clear" w:color="auto" w:fill="FFFFFF"/>
            <w:lang w:eastAsia="en-US"/>
          </w:rPr>
          <w:t>@</w:t>
        </w:r>
        <w:r>
          <w:rPr>
            <w:rFonts w:ascii="Segoe UI" w:eastAsiaTheme="minorHAnsi" w:hAnsi="Segoe UI" w:cs="Segoe UI"/>
            <w:color w:val="0000FF"/>
            <w:sz w:val="22"/>
            <w:szCs w:val="22"/>
            <w:u w:val="single"/>
            <w:shd w:val="clear" w:color="auto" w:fill="FFFFFF"/>
            <w:lang w:val="en-US" w:eastAsia="en-US"/>
          </w:rPr>
          <w:t>mail</w:t>
        </w:r>
        <w:r>
          <w:rPr>
            <w:rFonts w:ascii="Segoe UI" w:eastAsiaTheme="minorHAnsi" w:hAnsi="Segoe UI" w:cs="Segoe UI"/>
            <w:color w:val="0000FF"/>
            <w:sz w:val="22"/>
            <w:szCs w:val="22"/>
            <w:u w:val="single"/>
            <w:shd w:val="clear" w:color="auto" w:fill="FFFFFF"/>
            <w:lang w:eastAsia="en-US"/>
          </w:rPr>
          <w:t>.</w:t>
        </w:r>
        <w:proofErr w:type="spellStart"/>
        <w:r>
          <w:rPr>
            <w:rFonts w:ascii="Segoe UI" w:eastAsiaTheme="minorHAnsi" w:hAnsi="Segoe UI" w:cs="Segoe UI"/>
            <w:color w:val="0000FF"/>
            <w:sz w:val="22"/>
            <w:szCs w:val="22"/>
            <w:u w:val="single"/>
            <w:shd w:val="clear" w:color="auto" w:fill="FFFFFF"/>
            <w:lang w:val="en-US" w:eastAsia="en-US"/>
          </w:rPr>
          <w:t>ru</w:t>
        </w:r>
        <w:proofErr w:type="spellEnd"/>
      </w:hyperlink>
      <w:r>
        <w:rPr>
          <w:rFonts w:asciiTheme="minorHAnsi" w:eastAsia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4294967289" distB="4294967289" distL="114300" distR="114300" simplePos="0" relativeHeight="251660288" behindDoc="0" locked="0" layoutInCell="1" allowOverlap="1">
                <wp:simplePos x="0" y="0"/>
                <wp:positionH relativeFrom="column">
                  <wp:posOffset>734695</wp:posOffset>
                </wp:positionH>
                <wp:positionV relativeFrom="paragraph">
                  <wp:posOffset>8547100</wp:posOffset>
                </wp:positionV>
                <wp:extent cx="6000750" cy="0"/>
                <wp:effectExtent l="0" t="0" r="19050" b="1905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075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" o:spid="_x0000_s1026" type="#_x0000_t32" style="position:absolute;margin-left:57.85pt;margin-top:673pt;width:472.5pt;height:0;z-index:251660288;visibility:visible;mso-wrap-style:square;mso-width-percent:0;mso-height-percent:0;mso-wrap-distance-left:9pt;mso-wrap-distance-top:-19e-5mm;mso-wrap-distance-right:9pt;mso-wrap-distance-bottom:-19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" strokecolor="#0070c0" strokeweight="1.25pt"/>
            </w:pict>
          </mc:Fallback>
        </mc:AlternateContent>
      </w:r>
    </w:p>
    <w:p>
      <w:pPr>
        <w:spacing w:line="276" w:lineRule="auto"/>
        <w:ind w:firstLine="708"/>
        <w:jc w:val="both"/>
        <w:rPr>
          <w:rFonts w:ascii="Segoe UI" w:hAnsi="Segoe UI" w:cs="Segoe UI"/>
        </w:rPr>
      </w:pPr>
    </w:p>
    <w:p>
      <w:pPr>
        <w:spacing w:line="276" w:lineRule="auto"/>
        <w:ind w:firstLine="708"/>
        <w:jc w:val="both"/>
        <w:rPr>
          <w:rFonts w:ascii="Segoe UI" w:hAnsi="Segoe UI" w:cs="Segoe UI"/>
        </w:rPr>
      </w:pPr>
    </w:p>
    <w:p>
      <w:pPr>
        <w:spacing w:line="276" w:lineRule="auto"/>
        <w:ind w:firstLine="708"/>
        <w:jc w:val="both"/>
        <w:rPr>
          <w:rFonts w:ascii="Segoe UI" w:hAnsi="Segoe UI" w:cs="Segoe UI"/>
        </w:rPr>
      </w:pPr>
    </w:p>
    <w:p>
      <w:pPr>
        <w:spacing w:line="276" w:lineRule="auto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</w:p>
    <w:p>
      <w:pPr>
        <w:spacing w:line="276" w:lineRule="auto"/>
        <w:jc w:val="both"/>
        <w:rPr>
          <w:rFonts w:ascii="Segoe UI" w:hAnsi="Segoe UI" w:cs="Segoe UI"/>
        </w:rPr>
      </w:pPr>
    </w:p>
    <w:sectPr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80C950-A107-4D2A-B1B8-B110281D6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.samara@mail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505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Ольга Александровна</dc:creator>
  <cp:keywords/>
  <dc:description/>
  <cp:lastModifiedBy>Никитина Ольга Александровна</cp:lastModifiedBy>
  <cp:revision>3</cp:revision>
  <dcterms:created xsi:type="dcterms:W3CDTF">2020-01-29T14:12:00Z</dcterms:created>
  <dcterms:modified xsi:type="dcterms:W3CDTF">2020-01-29T14:12:00Z</dcterms:modified>
</cp:coreProperties>
</file>