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b/>
          <w:sz w:val="28"/>
          <w:szCs w:val="28"/>
        </w:rPr>
      </w:pPr>
      <w:r>
        <w:rPr>
          <w:rFonts w:ascii="Segoe UI" w:hAnsi="Segoe UI" w:cs="Segoe UI"/>
          <w:b/>
        </w:rPr>
        <w:t>30 января 2020</w:t>
      </w:r>
    </w:p>
    <w:p>
      <w:pPr>
        <w:spacing w:after="0"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подвел итоги работы за 2019 год</w:t>
      </w:r>
    </w:p>
    <w:p>
      <w:pPr>
        <w:spacing w:after="0"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сфере регистрации недвижимости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подвело итоги работы за 2019 год. За регистрацией прав и кадастровым учетом в прошлом году обратилось 778,5 тысяч заявителей, что на 9% больше, чем в 2018 году. </w:t>
      </w:r>
    </w:p>
    <w:p>
      <w:pPr>
        <w:pStyle w:val="Standard"/>
        <w:spacing w:line="276" w:lineRule="auto"/>
        <w:ind w:firstLine="706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i/>
        </w:rPr>
        <w:t>Раньше я сказал</w:t>
      </w:r>
      <w:r>
        <w:rPr>
          <w:rFonts w:ascii="Segoe UI" w:hAnsi="Segoe UI" w:cs="Segoe UI"/>
          <w:i/>
          <w:lang w:val="ru-RU"/>
        </w:rPr>
        <w:t xml:space="preserve"> бы</w:t>
      </w:r>
      <w:r>
        <w:rPr>
          <w:rFonts w:ascii="Segoe UI" w:hAnsi="Segoe UI" w:cs="Segoe UI"/>
          <w:i/>
        </w:rPr>
        <w:t xml:space="preserve">, что к нам обратился каждый четвертый житель Самарской области. Но </w:t>
      </w:r>
      <w:r>
        <w:rPr>
          <w:rFonts w:ascii="Segoe UI" w:hAnsi="Segoe UI" w:cs="Segoe UI"/>
          <w:i/>
          <w:lang w:val="ru-RU"/>
        </w:rPr>
        <w:t>в 2019 году наше Управление расширило границы своей деятельности и вышло за пределы региона. Документы принимаются и отрабатываются независимо от места подачи заявления, а иногда и расположения объекта недвижимости. Отмечу, что количество заявлений в целом по экстерриториальному принципу в 2019 году составило более 23 тысяч, что в два раза больше показателей 2018 года</w:t>
      </w:r>
      <w:r>
        <w:rPr>
          <w:rFonts w:ascii="Segoe UI" w:hAnsi="Segoe UI" w:cs="Segoe UI"/>
          <w:lang w:val="ru-RU"/>
        </w:rPr>
        <w:t xml:space="preserve">, - рассказал руководитель Управления Росреестра по Самарской области </w:t>
      </w:r>
      <w:r>
        <w:rPr>
          <w:rFonts w:ascii="Segoe UI" w:hAnsi="Segoe UI" w:cs="Segoe UI"/>
          <w:b/>
          <w:lang w:val="ru-RU"/>
        </w:rPr>
        <w:t>Вадим Маликов</w:t>
      </w:r>
      <w:r>
        <w:rPr>
          <w:rFonts w:ascii="Segoe UI" w:hAnsi="Segoe UI" w:cs="Segoe UI"/>
          <w:lang w:val="ru-RU"/>
        </w:rPr>
        <w:t xml:space="preserve">.  </w:t>
      </w:r>
    </w:p>
    <w:p>
      <w:pPr>
        <w:pStyle w:val="Standard"/>
        <w:spacing w:line="276" w:lineRule="auto"/>
        <w:ind w:firstLine="706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</w:rPr>
        <w:t>Наибольшее количество обращений связано с объектами недвижимости жилого назначения (50%), с земельными участками (37%), нежилыми помещениями (</w:t>
      </w:r>
      <w:r>
        <w:rPr>
          <w:rFonts w:ascii="Segoe UI" w:hAnsi="Segoe UI" w:cs="Segoe UI"/>
          <w:lang w:val="ru-RU"/>
        </w:rPr>
        <w:t>13</w:t>
      </w:r>
      <w:r>
        <w:rPr>
          <w:rFonts w:ascii="Segoe UI" w:hAnsi="Segoe UI" w:cs="Segoe UI"/>
        </w:rPr>
        <w:t xml:space="preserve">%). Несмотря на то, что общий показатель регистрационных действий по ипотеке снизился на 21,5%, этот вид регистрационных действий по-прежнему сохраняет самый высокий </w:t>
      </w:r>
      <w:r>
        <w:rPr>
          <w:rFonts w:ascii="Segoe UI" w:hAnsi="Segoe UI" w:cs="Segoe UI"/>
          <w:lang w:val="ru-RU"/>
        </w:rPr>
        <w:t>процент</w:t>
      </w:r>
      <w:r>
        <w:rPr>
          <w:rFonts w:ascii="Segoe UI" w:hAnsi="Segoe UI" w:cs="Segoe UI"/>
        </w:rPr>
        <w:t xml:space="preserve"> в сфере регистрации обременений и ограничений. </w:t>
      </w:r>
      <w:r>
        <w:rPr>
          <w:rFonts w:ascii="Segoe UI" w:hAnsi="Segoe UI" w:cs="Segoe UI"/>
          <w:lang w:val="ru-RU"/>
        </w:rPr>
        <w:t xml:space="preserve">Новеллой 2019 года стало поступление от кредитных организаций первых электронных закладных. </w:t>
      </w:r>
    </w:p>
    <w:p>
      <w:pPr>
        <w:pStyle w:val="Standard"/>
        <w:spacing w:line="276" w:lineRule="auto"/>
        <w:ind w:firstLine="706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 xml:space="preserve">- </w:t>
      </w:r>
      <w:r>
        <w:rPr>
          <w:rFonts w:ascii="Segoe UI" w:hAnsi="Segoe UI" w:cs="Segoe UI"/>
          <w:i/>
          <w:lang w:val="ru-RU"/>
        </w:rPr>
        <w:t>Учитывая, что банки начали подавать электронные закладные в октябре, а к концу года их было уже около 1000, можно сделать прогноз об активном вовлечении их в оборот кредитными организациями в 2020 году</w:t>
      </w:r>
      <w:r>
        <w:rPr>
          <w:rFonts w:ascii="Segoe UI" w:hAnsi="Segoe UI" w:cs="Segoe UI"/>
          <w:lang w:val="ru-RU"/>
        </w:rPr>
        <w:t xml:space="preserve">, - сообщил Вадим Маликов.   </w:t>
      </w:r>
    </w:p>
    <w:p>
      <w:pPr>
        <w:pStyle w:val="Standard"/>
        <w:spacing w:line="276" w:lineRule="auto"/>
        <w:ind w:firstLine="706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>Отдельно стоит отметить рост регистрации договоров участия в долевом строительстве, привлечение денежных средств по которым осуществляется с использованием счетов-</w:t>
      </w:r>
      <w:proofErr w:type="spellStart"/>
      <w:r>
        <w:rPr>
          <w:rFonts w:ascii="Segoe UI" w:hAnsi="Segoe UI" w:cs="Segoe UI"/>
          <w:lang w:val="ru-RU"/>
        </w:rPr>
        <w:t>эскроу</w:t>
      </w:r>
      <w:proofErr w:type="spellEnd"/>
      <w:r>
        <w:rPr>
          <w:rFonts w:ascii="Segoe UI" w:hAnsi="Segoe UI" w:cs="Segoe UI"/>
          <w:lang w:val="ru-RU"/>
        </w:rPr>
        <w:t xml:space="preserve">. Этот способ обеспечения прав участников долевого строительства стал базовым для объектов, первый договор долевого участия по которым заключен после 27 июня 2019 года. В 2019 году было зарегистрировано 566 таких договоров, тогда как за 2018 год всего 18.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Вырос спрос и на электронные услуги: по сравнению с 2018 годом в 2019 году было подано на 59% больше заявлений на регистрацию прав и кадастровый учет в электронном виде. Стоит отметить, что граждане и юридические лица вправе выбирать способ подачи документов. А вот органы власти и местного самоуправления обязаны переходить на электронный формат: к 1 января 2021 года все 100% их заявлений должны подаваться через электронные сервисы. По итогам 2019 года к этой цифре приблизились город Отрадный, Красноярский, </w:t>
      </w:r>
      <w:proofErr w:type="spellStart"/>
      <w:r>
        <w:rPr>
          <w:rFonts w:ascii="Segoe UI" w:hAnsi="Segoe UI" w:cs="Segoe UI"/>
          <w:sz w:val="24"/>
          <w:szCs w:val="24"/>
        </w:rPr>
        <w:t>Елховский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sz w:val="24"/>
          <w:szCs w:val="24"/>
        </w:rPr>
        <w:t>Богатовский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 и </w:t>
      </w:r>
      <w:proofErr w:type="spellStart"/>
      <w:r>
        <w:rPr>
          <w:rFonts w:ascii="Segoe UI" w:hAnsi="Segoe UI" w:cs="Segoe UI"/>
          <w:sz w:val="24"/>
          <w:szCs w:val="24"/>
        </w:rPr>
        <w:t>Кинель</w:t>
      </w:r>
      <w:proofErr w:type="spellEnd"/>
      <w:r>
        <w:rPr>
          <w:rFonts w:ascii="Segoe UI" w:hAnsi="Segoe UI" w:cs="Segoe UI"/>
          <w:sz w:val="24"/>
          <w:szCs w:val="24"/>
        </w:rPr>
        <w:t xml:space="preserve">-Черкасский районы.    </w:t>
      </w:r>
    </w:p>
    <w:p>
      <w:pPr>
        <w:pStyle w:val="Standard"/>
        <w:spacing w:line="276" w:lineRule="auto"/>
        <w:ind w:firstLine="540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</w:rPr>
        <w:t xml:space="preserve">Традиционно запрос сведений из Единого государственного реестра недвижимости превышает один миллион. </w:t>
      </w:r>
      <w:r>
        <w:rPr>
          <w:rFonts w:ascii="Segoe UI" w:hAnsi="Segoe UI" w:cs="Segoe UI"/>
          <w:lang w:val="ru-RU"/>
        </w:rPr>
        <w:t xml:space="preserve">Такой объем мог бы быть критичным, если бы выписки формировались вручную, а не автоматически, как это происходит сейчас. Однако не все сведения формируются автоматически. В зоне ответственности Управления Росреестра остается выдача информации, требующая определенной квалификации и высоких трудовых затрат: это выписки о содержании правоустанавливающих документов и копий документов. Объем таких выписок в 2019 году вырос на 33%. </w:t>
      </w:r>
    </w:p>
    <w:p>
      <w:pPr>
        <w:pStyle w:val="Standard"/>
        <w:spacing w:line="276" w:lineRule="auto"/>
        <w:ind w:firstLine="540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 xml:space="preserve">- </w:t>
      </w:r>
      <w:r>
        <w:rPr>
          <w:rFonts w:ascii="Segoe UI" w:hAnsi="Segoe UI" w:cs="Segoe UI"/>
          <w:i/>
          <w:lang w:val="ru-RU"/>
        </w:rPr>
        <w:t xml:space="preserve">Объем регистрационных действий в 2019 году был большой, и удержать работу по каждому заявлению на высоком уровне было непросто. Задача Управления состоит в том, чтобы каждый заявитель получил услугу Росреестра качественно и в срок. А это необходимо в том числе и для положительного социально-экономического развития Самарской области. Считаю, что коллектив Управления </w:t>
      </w:r>
      <w:bookmarkStart w:id="0" w:name="_GoBack"/>
      <w:bookmarkEnd w:id="0"/>
      <w:r>
        <w:rPr>
          <w:rFonts w:ascii="Segoe UI" w:hAnsi="Segoe UI" w:cs="Segoe UI"/>
          <w:i/>
          <w:lang w:val="ru-RU"/>
        </w:rPr>
        <w:t>с этой задачей справился. В связи с тем, что Росреестр занял еще более серьезные позиции в центральных органах исполнительной власти (поскольку теперь подчинен непосредственно правительству Российской Федерации) мы ожидаем новых глобальных и интересных задач и готовы их выполнять,</w:t>
      </w:r>
      <w:r>
        <w:rPr>
          <w:rFonts w:ascii="Segoe UI" w:hAnsi="Segoe UI" w:cs="Segoe UI"/>
          <w:lang w:val="ru-RU"/>
        </w:rPr>
        <w:t xml:space="preserve"> - подчеркнул Вадим Маликов. </w:t>
      </w:r>
    </w:p>
    <w:p>
      <w:pPr>
        <w:pStyle w:val="Standard"/>
        <w:spacing w:line="276" w:lineRule="auto"/>
        <w:ind w:firstLine="540"/>
        <w:jc w:val="both"/>
        <w:rPr>
          <w:rFonts w:ascii="Segoe UI" w:hAnsi="Segoe UI" w:cs="Segoe UI"/>
          <w:lang w:val="ru-RU"/>
        </w:rPr>
      </w:pPr>
    </w:p>
    <w:p>
      <w:pPr>
        <w:spacing w:line="276" w:lineRule="auto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______________________________________________________________________________________________________</w:t>
      </w:r>
    </w:p>
    <w:p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384048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302.4pt;height:0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" strokecolor="#0070c0" strokeweight="1.25pt"/>
            </w:pict>
          </mc:Fallback>
        </mc:AlternateConten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6BF55-367D-4507-9C28-70114A75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71</cp:revision>
  <cp:lastPrinted>2020-01-30T09:51:00Z</cp:lastPrinted>
  <dcterms:created xsi:type="dcterms:W3CDTF">2020-01-30T08:50:00Z</dcterms:created>
  <dcterms:modified xsi:type="dcterms:W3CDTF">2020-01-30T10:43:00Z</dcterms:modified>
</cp:coreProperties>
</file>