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29 января 2020</w:t>
      </w:r>
    </w:p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2020 году усилят контроль за банкротством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последние два года почти в два раза увеличилось количество жалоб на действия арбитражных управляющих по сравнению с 2017 и 2016 годами. А по сравнению с 2018 годом в прошлом году выросло число жалоб, признанных обоснованными: в 75% случаев в отношении арбитражных управляющих были возбуждены дела об административных правонарушениях.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Рост обращений связан с </w:t>
      </w:r>
      <w:r>
        <w:rPr>
          <w:rFonts w:ascii="Segoe UI" w:hAnsi="Segoe UI" w:cs="Segoe UI"/>
          <w:color w:val="000000" w:themeColor="text1"/>
          <w:sz w:val="24"/>
          <w:szCs w:val="24"/>
        </w:rPr>
        <w:t>ужесточением законодательных требований к арбитражным управляющим, а также с повышением юридической грамотности лиц, вовлеченных в правоотношения в сфере банкротства.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ведомстве подчеркивают, что для восстановления нарушенных прав обратиться только в Управление Росреестра недостаточно.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Жалоба на арбитражного управляющего может быть подана как в Управление Росреестра, так и в саморегулируемую организацию (СРО) арбитражных управляющих. Если арбитражный управляющий нарушил требования законодательства о банкротстве, Росреестр привлечет его к административной ответственности, а СРО вынесет замечание или исключит арбитражного управляющего из состава членов организации. При этом в полномочия Росреестра и СРО арбитражных управляющих не входит восстановление нарушенных прав. Поэтому за защитой своих прав надо обязательно обратиться в суд. Например, в рамках имеющегося дела о банкротстве</w:t>
      </w:r>
      <w:r>
        <w:rPr>
          <w:rFonts w:ascii="Segoe UI" w:hAnsi="Segoe UI" w:cs="Segoe UI"/>
          <w:sz w:val="24"/>
          <w:szCs w:val="24"/>
        </w:rPr>
        <w:t xml:space="preserve">, - поясняет начальник отдела по контролю (надзору) в сфере саморегулируемых организаций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Соловьева</w:t>
      </w:r>
      <w:r>
        <w:rPr>
          <w:rFonts w:ascii="Segoe UI" w:hAnsi="Segoe UI" w:cs="Segoe UI"/>
          <w:sz w:val="24"/>
          <w:szCs w:val="24"/>
        </w:rPr>
        <w:t xml:space="preserve">. 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в 2019 году в рамках контроля за процедурами банкротства организаций-застройщиков и организаций, имеющих задолженность по заработной плате</w:t>
      </w:r>
      <w:r>
        <w:rPr>
          <w:rFonts w:ascii="Segoe UI" w:hAnsi="Segoe UI" w:cs="Segoe UI"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Управление Росреестра взаимодействовало с органами прокуратуры Самарской области. По итогам рассмотрения материалов прокуратуры было составлено пять протоколов об административных правонарушениях. В 2020 году ожидается еще более пристальное внимание надзорного органа за арбитражными управляющими. Это связано с поручением </w:t>
      </w:r>
      <w:r>
        <w:rPr>
          <w:rFonts w:ascii="Segoe UI" w:hAnsi="Segoe UI" w:cs="Segoe UI"/>
          <w:sz w:val="24"/>
          <w:szCs w:val="24"/>
        </w:rPr>
        <w:lastRenderedPageBreak/>
        <w:t xml:space="preserve">администрации президента России (которые были даны 20 января) усилить надзор, чтобы минимизировать незаконные финансовые операции с использованием института банкротства.  </w:t>
      </w:r>
    </w:p>
    <w:p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46CE7-36C5-44DD-AD66-66CA5CB4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22</cp:revision>
  <cp:lastPrinted>2020-01-29T07:04:00Z</cp:lastPrinted>
  <dcterms:created xsi:type="dcterms:W3CDTF">2020-01-29T06:50:00Z</dcterms:created>
  <dcterms:modified xsi:type="dcterms:W3CDTF">2020-01-29T07:41:00Z</dcterms:modified>
</cp:coreProperties>
</file>