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both"/>
        <w:rPr>
          <w:rFonts w:ascii="Segoe UI" w:hAnsi="Segoe UI" w:cs="Segoe UI"/>
          <w:b/>
          <w:noProof/>
          <w:sz w:val="32"/>
          <w:szCs w:val="32"/>
          <w:lang w:eastAsia="sk-SK"/>
        </w:rPr>
      </w:pPr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>
        <w:rPr>
          <w:rFonts w:ascii="Segoe UI" w:hAnsi="Segoe UI" w:cs="Segoe UI"/>
          <w:b/>
          <w:noProof/>
          <w:sz w:val="32"/>
          <w:szCs w:val="32"/>
          <w:lang w:eastAsia="sk-SK"/>
        </w:rPr>
        <w:t>ПРЕСС-РЕЛИЗ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jc w:val="right"/>
        <w:rPr>
          <w:rFonts w:ascii="Segoe UI" w:hAnsi="Segoe UI" w:cs="Segoe UI"/>
          <w:b/>
          <w:noProof/>
          <w:szCs w:val="28"/>
          <w:lang w:eastAsia="sk-SK"/>
        </w:rPr>
      </w:pPr>
      <w:r>
        <w:rPr>
          <w:rFonts w:ascii="Segoe UI" w:hAnsi="Segoe UI" w:cs="Segoe UI"/>
          <w:b/>
          <w:noProof/>
          <w:szCs w:val="28"/>
          <w:lang w:eastAsia="sk-SK"/>
        </w:rPr>
        <w:t xml:space="preserve">8 августа 2019 </w:t>
      </w:r>
    </w:p>
    <w:p>
      <w:pPr>
        <w:jc w:val="both"/>
        <w:rPr>
          <w:rFonts w:ascii="Segoe UI" w:hAnsi="Segoe UI" w:cs="Segoe UI"/>
          <w:sz w:val="32"/>
          <w:szCs w:val="32"/>
          <w:lang w:eastAsia="sk-SK"/>
        </w:rPr>
      </w:pPr>
    </w:p>
    <w:p>
      <w:pPr>
        <w:rPr>
          <w:rFonts w:ascii="Segoe UI" w:hAnsi="Segoe UI" w:cs="Segoe UI"/>
          <w:sz w:val="32"/>
          <w:szCs w:val="32"/>
          <w:lang w:eastAsia="sk-SK"/>
        </w:rPr>
      </w:pPr>
      <w:r>
        <w:rPr>
          <w:rFonts w:ascii="Segoe UI" w:hAnsi="Segoe UI" w:cs="Segoe UI"/>
          <w:sz w:val="32"/>
          <w:szCs w:val="32"/>
          <w:lang w:eastAsia="sk-SK"/>
        </w:rPr>
        <w:t>Сделки с недвижимостью в электронном виде получили дополнительную защиту</w:t>
      </w:r>
    </w:p>
    <w:p>
      <w:pPr>
        <w:spacing w:before="240" w:after="24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Президент России Владимир Путин подписал закон, который предоставляет гражданам право внести в Единый государственный реестр недвижимости (ЕГРН) отметку о возможности представления в Росреестр заявления о переходе или прекращении права на принадлежащую им недвижимость, подписанного электронной подписью*. Закон принят с целью обеспечения защиты прав граждан в результате совместной работы депутатов Государственной Думы и Правительства Российской Федерации. Росреестр принимал участие в работе над поправками к проекту закона.</w:t>
      </w:r>
    </w:p>
    <w:p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гражданин допускает проведение сделок с его недвижимостью в электронной форме с использованием усиленной квалифицированной электронной подписи, то он об этом отдельно должен подать заявление в Росреестр в бумажной форме. При отсутствии такого заявления от собственника государственная регистрация перехода прав на основании электронного пакета документов будет невозможна.</w:t>
      </w:r>
    </w:p>
    <w:p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частности, закон защищает граждан от мошеннических действий с их недвижимостью, совершаемых при помощи электронной подписи. Он направлен на исключение случаев, когда мошенники завладевают чужими квартирами путем подачи документов на государственную регистрацию прав с незаконным использованием электронной подписи собственника, полученной в удостоверяющем центре в том числе по поддельным документам.</w:t>
      </w:r>
    </w:p>
    <w:p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этом закон предусматривает ряд случаев, когда для проведения сделок с недвижимостью в электронном виде не будет требоваться специальная отметка в ЕГРН, сделанная на основании заявления собственника недвижимости. </w:t>
      </w:r>
    </w:p>
    <w:p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«При принятии закона основная сложность была в поиске баланса между степенью защиты прав граждан на их имущество и задачей не сдерживать цифровизацию на рынке недвижимости. Решить эти задачи позволило сбалансированное решение. Так, согласно закону внесение отметки в реестр недвижимости не потребуется, если электронная подпись выдана Федеральной кадастровой палатой Росреестра, при проведении сделок с участием нотариусов и органов власти, которые взаимодействуют с Росреестром в электронном виде. Закон также сохраняет все возможности подачи электронных пакетов от кредитных организаций без внесения в реестр недвижимости специальной отметки на основании заявления собственника. Таким образом, его действие не будет распространяться на популярные цифровые проекты, такие как электронная ипотека», – </w:t>
      </w:r>
      <w:r>
        <w:rPr>
          <w:rFonts w:ascii="Segoe UI" w:hAnsi="Segoe UI" w:cs="Segoe UI"/>
          <w:b/>
          <w:sz w:val="24"/>
          <w:szCs w:val="24"/>
        </w:rPr>
        <w:t xml:space="preserve">говорит </w:t>
      </w:r>
      <w:r>
        <w:rPr>
          <w:rFonts w:ascii="Segoe UI" w:hAnsi="Segoe UI" w:cs="Segoe UI"/>
          <w:b/>
          <w:sz w:val="24"/>
          <w:szCs w:val="24"/>
        </w:rPr>
        <w:lastRenderedPageBreak/>
        <w:t>заместитель Министра экономического развития Российской Федерации – руководитель Росреестра Виктория Абрамченко.</w:t>
      </w:r>
    </w:p>
    <w:p>
      <w:pPr>
        <w:spacing w:before="120" w:after="120" w:line="270" w:lineRule="atLeast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Справочно</w:t>
      </w:r>
    </w:p>
    <w:p>
      <w:pPr>
        <w:spacing w:before="120" w:after="120" w:line="27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Возможность подать заявление о запрете проведения сделок без личного участия собственника недвижимости предусмотрена законодательством начиная с 2013 года. С этого момента отмечается рост таких заявлений, поданных собственниками недвижимости в Росреестр. Так, их количество, полученное Росреестром в 2018 году, выросло по сравнению с 2014 годом, почти в 9 раз. Всего за период с 1 января 2014 года по 30 марта 2019 года ведомство получило порядка 550 тыс. заявлений собственников о невозможности проведения сделок без их личного участия.</w:t>
      </w:r>
    </w:p>
    <w:p>
      <w:pPr>
        <w:spacing w:before="120" w:after="120" w:line="270" w:lineRule="atLeast"/>
        <w:jc w:val="both"/>
        <w:rPr>
          <w:rFonts w:ascii="Segoe UI" w:hAnsi="Segoe UI" w:cs="Segoe UI"/>
          <w:i/>
          <w:sz w:val="24"/>
          <w:szCs w:val="24"/>
        </w:rPr>
      </w:pPr>
    </w:p>
    <w:p>
      <w:pPr>
        <w:spacing w:before="120" w:after="120" w:line="27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* Законопроект № 728232-7 «О внесении изменений в Федеральный закон «О государственной регистрации недвижимости» (в части отметки о возможности предоставления заявления на государственную регистрацию права, заверенного электронной подписью гражданина). </w:t>
      </w:r>
    </w:p>
    <w:p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5940425" cy="19040"/>
                <wp:effectExtent l="0" t="0" r="22225" b="19685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0425" cy="19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46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" filled="f" strokecolor="#0070c0">
                <o:lock v:ext="edit" aspectratio="t"/>
                <w10:anchorlock/>
              </v:rect>
            </w:pict>
          </mc:Fallback>
        </mc:AlternateContent>
      </w:r>
    </w:p>
    <w:p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О Росреестре</w:t>
      </w:r>
    </w:p>
    <w:p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Росреестр выполняет функции по организации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</w:t>
      </w:r>
    </w:p>
    <w:p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Подведомственными учреждениями Росреестра являются ФГБУ «ФКП Росреестра» и ФГБУ «Центр геодезии, картографии и ИПД».</w:t>
      </w:r>
    </w:p>
    <w:p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bookmarkStart w:id="0" w:name="_GoBack"/>
      <w:bookmarkEnd w:id="0"/>
    </w:p>
    <w:sectPr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B78A4"/>
    <w:multiLevelType w:val="hybridMultilevel"/>
    <w:tmpl w:val="5C488A42"/>
    <w:lvl w:ilvl="0" w:tplc="935A71A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73EB9"/>
    <w:multiLevelType w:val="hybridMultilevel"/>
    <w:tmpl w:val="E07EE4F2"/>
    <w:lvl w:ilvl="0" w:tplc="7BD65DC6"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EF41B-0BAD-48C4-A284-F52524E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next w:val="a4"/>
    <w:link w:val="a5"/>
    <w:uiPriority w:val="99"/>
    <w:unhideWhenUsed/>
    <w:pPr>
      <w:widowControl w:val="0"/>
      <w:jc w:val="left"/>
    </w:pPr>
    <w:rPr>
      <w:rFonts w:eastAsia="Times New Roman" w:cs="Times New Roman"/>
      <w:szCs w:val="20"/>
      <w:lang w:eastAsia="ru-RU"/>
    </w:rPr>
  </w:style>
  <w:style w:type="character" w:customStyle="1" w:styleId="a5">
    <w:name w:val="Текст сноски Знак"/>
    <w:basedOn w:val="a0"/>
    <w:link w:val="a3"/>
    <w:uiPriority w:val="99"/>
    <w:rPr>
      <w:rFonts w:eastAsia="Times New Roman" w:cs="Times New Roman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FontStyle12">
    <w:name w:val="Font Style12"/>
    <w:uiPriority w:val="9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pPr>
      <w:widowControl w:val="0"/>
      <w:jc w:val="left"/>
    </w:pPr>
    <w:rPr>
      <w:rFonts w:ascii="Courier New" w:eastAsia="Courier New" w:hAnsi="Courier New" w:cs="Courier New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4">
    <w:name w:val="annotation subject"/>
    <w:basedOn w:val="a8"/>
    <w:next w:val="a8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9"/>
    <w:link w:val="a4"/>
    <w:uiPriority w:val="99"/>
    <w:semiHidden/>
    <w:rPr>
      <w:b/>
      <w:bCs/>
      <w:sz w:val="20"/>
      <w:szCs w:val="20"/>
    </w:rPr>
  </w:style>
  <w:style w:type="paragraph" w:styleId="ab">
    <w:name w:val="Normal (Web)"/>
    <w:basedOn w:val="a"/>
    <w:unhideWhenUsed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Plain Text"/>
    <w:basedOn w:val="a"/>
    <w:link w:val="af8"/>
    <w:uiPriority w:val="99"/>
    <w:semiHidden/>
    <w:unhideWhenUsed/>
    <w:pPr>
      <w:jc w:val="left"/>
    </w:pPr>
    <w:rPr>
      <w:rFonts w:ascii="Calibri" w:hAnsi="Calibri"/>
      <w:sz w:val="22"/>
      <w:szCs w:val="21"/>
    </w:rPr>
  </w:style>
  <w:style w:type="character" w:customStyle="1" w:styleId="af8">
    <w:name w:val="Текст Знак"/>
    <w:basedOn w:val="a0"/>
    <w:link w:val="af7"/>
    <w:uiPriority w:val="99"/>
    <w:semiHidden/>
    <w:rPr>
      <w:rFonts w:ascii="Calibri" w:hAnsi="Calibri"/>
      <w:sz w:val="22"/>
      <w:szCs w:val="21"/>
    </w:rPr>
  </w:style>
  <w:style w:type="character" w:styleId="af9">
    <w:name w:val="Hyperlink"/>
    <w:basedOn w:val="a0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7139-4690-437D-8A5C-07C566E8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Фидарова Татьяна Александровна</dc:creator>
  <cp:lastModifiedBy>Никитина Ольга Александровна</cp:lastModifiedBy>
  <cp:revision>4</cp:revision>
  <cp:lastPrinted>2019-07-24T07:38:00Z</cp:lastPrinted>
  <dcterms:created xsi:type="dcterms:W3CDTF">2019-08-08T07:04:00Z</dcterms:created>
  <dcterms:modified xsi:type="dcterms:W3CDTF">2019-08-08T07:05:00Z</dcterms:modified>
</cp:coreProperties>
</file>